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/>
  <w:body>
    <w:p w:rsidR="00A80DAD" w:rsidRDefault="005B42F3" w:rsidP="002C4970">
      <w:pPr>
        <w:jc w:val="center"/>
        <w:rPr>
          <w:rFonts w:ascii="华文新魏" w:eastAsia="华文新魏" w:hAnsi="微软雅黑" w:cstheme="minorBidi"/>
          <w:b/>
          <w:sz w:val="44"/>
          <w:szCs w:val="44"/>
        </w:rPr>
      </w:pPr>
      <w:r>
        <w:rPr>
          <w:rFonts w:ascii="华文新魏" w:eastAsia="华文新魏" w:hAnsi="微软雅黑" w:cstheme="minorBidi" w:hint="eastAsia"/>
          <w:b/>
          <w:sz w:val="44"/>
          <w:szCs w:val="44"/>
        </w:rPr>
        <w:t>高内涵</w:t>
      </w:r>
      <w:r w:rsidR="002C4970" w:rsidRPr="002C4970">
        <w:rPr>
          <w:rFonts w:ascii="华文新魏" w:eastAsia="华文新魏" w:hAnsi="微软雅黑" w:cstheme="minorBidi" w:hint="eastAsia"/>
          <w:b/>
          <w:sz w:val="44"/>
          <w:szCs w:val="44"/>
        </w:rPr>
        <w:t>通用操作指南</w:t>
      </w:r>
    </w:p>
    <w:p w:rsidR="002C4970" w:rsidRDefault="002C4970" w:rsidP="002C4970">
      <w:pPr>
        <w:jc w:val="center"/>
      </w:pP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打开机器右下角电源（绿色灯）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打开软件Cellomics Scan，选择第一个选项iDev，初始用户名和密码均为cell。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如果是当天第一次开机，请让机器初始化（约30秒）。注意！初始化期间，请不要急于放入样品。不要堆放杂物在舱门门口或是上方，避免卡住载物台。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点击load plate，按照A1的标签指引，放入样品板后，点击确认收回载物台。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选择自己需要使用的protocol，初次使用可以用acquire only程序，快速获取图像。Acquire only系列中，选择对应的物镜倍数，对应的染料（通道/荧光）数量。选择对应的plate type，检测板板型。根据自己的荧光染料，在程序中选择激发波长。染料和波长的对应关系，请参考下面简表。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点击acquire image，获取图像。点击auto focus，自动聚焦。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点击auto exposure，让软件给出一个参考曝光时间，然后在此基础上调节曝光时间，不要过分曝光，也要保证目标图像和背景的信噪比对比度足够，把鼠标放在图像的对应位置，即可在屏幕下方看到鼠标所在像素的荧光强度数值。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固定曝光时间（fixed），并按照上述方式确定其余通道（染料）的曝光时间。注意一定要检查这一步，保证每个孔、每个视野的曝光时间是相同的，具有可比性。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EastAsia" w:cstheme="minorBidi" w:hint="eastAsia"/>
          <w:sz w:val="30"/>
          <w:szCs w:val="30"/>
        </w:rPr>
      </w:pPr>
      <w:r w:rsidRPr="005B42F3">
        <w:rPr>
          <w:rFonts w:ascii="华文新魏" w:eastAsia="华文新魏" w:hAnsiTheme="minorEastAsia" w:cstheme="minorBidi" w:hint="eastAsia"/>
          <w:sz w:val="30"/>
          <w:szCs w:val="30"/>
        </w:rPr>
        <w:t>点击next，设定每个孔的视野数，点击next，选择待测区域（孔，视野），开始扫描。</w:t>
      </w:r>
    </w:p>
    <w:p w:rsidR="005B42F3" w:rsidRPr="005B42F3" w:rsidRDefault="005B42F3" w:rsidP="005B42F3">
      <w:pPr>
        <w:pStyle w:val="a5"/>
        <w:numPr>
          <w:ilvl w:val="0"/>
          <w:numId w:val="8"/>
        </w:numPr>
        <w:ind w:firstLineChars="0"/>
        <w:rPr>
          <w:rFonts w:ascii="华文新魏" w:eastAsia="华文新魏" w:hAnsiTheme="minorHAnsi" w:cstheme="minorBidi" w:hint="eastAsia"/>
          <w:sz w:val="30"/>
          <w:szCs w:val="30"/>
        </w:rPr>
      </w:pPr>
      <w:r w:rsidRPr="005B42F3">
        <w:rPr>
          <w:rFonts w:ascii="华文新魏" w:eastAsia="华文新魏" w:hAnsiTheme="minorHAnsi" w:cstheme="minorBidi" w:hint="eastAsia"/>
          <w:sz w:val="30"/>
          <w:szCs w:val="30"/>
        </w:rPr>
        <w:lastRenderedPageBreak/>
        <w:t>参考染料（荧光）</w:t>
      </w: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2126"/>
        <w:gridCol w:w="2238"/>
        <w:gridCol w:w="2015"/>
      </w:tblGrid>
      <w:tr w:rsidR="005B42F3" w:rsidRPr="005B42F3" w:rsidTr="00986A56">
        <w:tc>
          <w:tcPr>
            <w:tcW w:w="2126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波长</w:t>
            </w:r>
          </w:p>
        </w:tc>
        <w:tc>
          <w:tcPr>
            <w:tcW w:w="2238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颜色</w:t>
            </w:r>
          </w:p>
        </w:tc>
        <w:tc>
          <w:tcPr>
            <w:tcW w:w="2015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举例</w:t>
            </w:r>
          </w:p>
        </w:tc>
      </w:tr>
      <w:tr w:rsidR="005B42F3" w:rsidRPr="005B42F3" w:rsidTr="00986A56">
        <w:tc>
          <w:tcPr>
            <w:tcW w:w="2126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386</w:t>
            </w:r>
          </w:p>
        </w:tc>
        <w:tc>
          <w:tcPr>
            <w:tcW w:w="2238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蓝色</w:t>
            </w:r>
          </w:p>
        </w:tc>
        <w:tc>
          <w:tcPr>
            <w:tcW w:w="2015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DAPI</w:t>
            </w:r>
          </w:p>
        </w:tc>
      </w:tr>
      <w:tr w:rsidR="005B42F3" w:rsidRPr="005B42F3" w:rsidTr="00986A56">
        <w:tc>
          <w:tcPr>
            <w:tcW w:w="2126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485</w:t>
            </w:r>
          </w:p>
        </w:tc>
        <w:tc>
          <w:tcPr>
            <w:tcW w:w="2238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绿色</w:t>
            </w:r>
          </w:p>
        </w:tc>
        <w:tc>
          <w:tcPr>
            <w:tcW w:w="2015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FITC</w:t>
            </w:r>
          </w:p>
        </w:tc>
      </w:tr>
      <w:tr w:rsidR="005B42F3" w:rsidRPr="005B42F3" w:rsidTr="00986A56">
        <w:tc>
          <w:tcPr>
            <w:tcW w:w="2126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549</w:t>
            </w:r>
          </w:p>
        </w:tc>
        <w:tc>
          <w:tcPr>
            <w:tcW w:w="2238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橙色</w:t>
            </w:r>
          </w:p>
        </w:tc>
        <w:tc>
          <w:tcPr>
            <w:tcW w:w="2015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TRITC</w:t>
            </w:r>
          </w:p>
        </w:tc>
      </w:tr>
      <w:tr w:rsidR="005B42F3" w:rsidRPr="005B42F3" w:rsidTr="00986A56">
        <w:tc>
          <w:tcPr>
            <w:tcW w:w="2126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572</w:t>
            </w:r>
          </w:p>
        </w:tc>
        <w:tc>
          <w:tcPr>
            <w:tcW w:w="2238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得克萨斯红</w:t>
            </w:r>
          </w:p>
        </w:tc>
        <w:tc>
          <w:tcPr>
            <w:tcW w:w="2015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Dexas Red</w:t>
            </w:r>
          </w:p>
        </w:tc>
      </w:tr>
      <w:tr w:rsidR="005B42F3" w:rsidRPr="005B42F3" w:rsidTr="00986A56">
        <w:tc>
          <w:tcPr>
            <w:tcW w:w="2126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650</w:t>
            </w:r>
          </w:p>
        </w:tc>
        <w:tc>
          <w:tcPr>
            <w:tcW w:w="2238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红色</w:t>
            </w:r>
          </w:p>
        </w:tc>
        <w:tc>
          <w:tcPr>
            <w:tcW w:w="2015" w:type="dxa"/>
          </w:tcPr>
          <w:p w:rsidR="005B42F3" w:rsidRPr="005B42F3" w:rsidRDefault="005B42F3" w:rsidP="005B42F3">
            <w:pPr>
              <w:rPr>
                <w:rFonts w:ascii="华文新魏" w:eastAsia="华文新魏" w:hAnsiTheme="minorHAnsi" w:cstheme="minorBidi" w:hint="eastAsia"/>
                <w:sz w:val="30"/>
                <w:szCs w:val="30"/>
              </w:rPr>
            </w:pPr>
            <w:r w:rsidRPr="005B42F3">
              <w:rPr>
                <w:rFonts w:ascii="华文新魏" w:eastAsia="华文新魏" w:hAnsiTheme="minorHAnsi" w:cstheme="minorBidi" w:hint="eastAsia"/>
                <w:sz w:val="30"/>
                <w:szCs w:val="30"/>
              </w:rPr>
              <w:t>Cy5</w:t>
            </w:r>
          </w:p>
        </w:tc>
      </w:tr>
    </w:tbl>
    <w:p w:rsidR="00067E65" w:rsidRPr="00BA16E1" w:rsidRDefault="005B42F3" w:rsidP="00BA16E1">
      <w:pPr>
        <w:spacing w:line="360" w:lineRule="auto"/>
        <w:ind w:left="420"/>
        <w:rPr>
          <w:rFonts w:ascii="华文行楷" w:eastAsia="华文行楷"/>
          <w:sz w:val="30"/>
          <w:szCs w:val="30"/>
        </w:rPr>
      </w:pPr>
      <w:r w:rsidRPr="008E388C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C83944" wp14:editId="54499AFA">
                <wp:simplePos x="0" y="0"/>
                <wp:positionH relativeFrom="margin">
                  <wp:posOffset>3131820</wp:posOffset>
                </wp:positionH>
                <wp:positionV relativeFrom="paragraph">
                  <wp:posOffset>1365885</wp:posOffset>
                </wp:positionV>
                <wp:extent cx="3571875" cy="533400"/>
                <wp:effectExtent l="0" t="0" r="28575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5334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B7" w:rsidRPr="00551553" w:rsidRDefault="0003144F">
                            <w:pPr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bookmarkStart w:id="0" w:name="_GoBack"/>
                            <w:r w:rsidRPr="00551553"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仪器生产</w:t>
                            </w:r>
                            <w:r w:rsidR="00B0007C"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>厂商</w:t>
                            </w:r>
                            <w:r w:rsidR="00B0007C"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：</w:t>
                            </w:r>
                            <w:r w:rsidR="005B42F3"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赛默飞世尔科技</w:t>
                            </w:r>
                            <w:r w:rsidR="00B0007C" w:rsidRPr="00551553"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 </w:t>
                            </w:r>
                          </w:p>
                          <w:p w:rsidR="0003144F" w:rsidRDefault="00B0007C">
                            <w:pPr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技术</w:t>
                            </w:r>
                            <w:r w:rsidR="0003144F" w:rsidRPr="00551553"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>服务热线：</w:t>
                            </w:r>
                            <w:r w:rsidR="005B42F3"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许波工程师</w:t>
                            </w:r>
                            <w:r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 </w:t>
                            </w:r>
                            <w:r w:rsidR="005B42F3"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>13818706942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8394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6.6pt;margin-top:107.55pt;width:281.2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fwOwIAAEcEAAAOAAAAZHJzL2Uyb0RvYy54bWysU0uOEzEQ3SNxB8t70p98p5XOaMgQhDR8&#10;pIEDOG532sLtamwn3eEAww1YsWHPuXIOyu4khEFsEF5YLlf5ueq9qvl1VyuyE8ZK0DlNBjElQnMo&#10;pN7k9MP71bMZJdYxXTAFWuR0Lyy9Xjx9Mm+bTKRQgSqEIQiibdY2Oa2ca7IosrwSNbMDaIRGZwmm&#10;Zg5Ns4kKw1pEr1WUxvEkasEUjQEurMXb295JFwG/LAV3b8vSCkdUTjE3F3YT9rXfo8WcZRvDmkry&#10;YxrsH7KomdT46RnqljlGtkb+AVVLbsBC6QYc6gjKUnIRasBqkvhRNfcVa0SoBcmxzZkm+/9g+Zvd&#10;O0NkkdM0mVKiWY0iHb5+OXz7cfj+QFJPUNvYDOPuG4x03XPoUOhQrG3ugH+0RMOyYnojboyBthKs&#10;wAQT/zK6eNrjWA+ybl9Dgf+wrYMA1JWm9uwhHwTRUaj9WRzROcLxcjieJrPpmBKOvvFwOIqDehHL&#10;Tq8bY91LATXxh5waFD+gs92ddT4blp1C/GcWlCxWUqlgmM16qQzZMWyUyWSFKxTwKExp0ub0apyO&#10;ewL+ChHHaTw5JfjbT7V02PFK1jmdxX71Pehpe6GL0I+OSdWfMWWljzx66noSXbfujrqsodgjowb6&#10;zsZJxEMF5jMlLXZ1Tu2nLTOCEvVKoypXyWjkxyAYo/E0RcNcetaXHqY5QuXUUdIfly6MjidMww2q&#10;V8pArJe5z+SYK3Zr4Ps4WX4cLu0Q9Wv+Fz8BAAD//wMAUEsDBBQABgAIAAAAIQDv3RwI4AAAAAwB&#10;AAAPAAAAZHJzL2Rvd25yZXYueG1sTI9BTsMwEEX3SNzBGiR21HEgUIc4VQRCRexakLp1Y5ME7HFk&#10;O024Pe4KljPz9Of9arNYQ07ah8GhALbKgGhsnRqwE/Dx/nKzBhKiRCWNQy3gRwfY1JcXlSyVm3Gn&#10;T/vYkRSCoZQC+hjHktLQ9trKsHKjxnT7dN7KmEbfUeXlnMKtoXmW3VMrB0wfejnqp1633/vJCgjh&#10;wKe312c+NWw3SuO3X828FeL6amkegUS9xD8YzvpJHerkdHQTqkCMgDt+mydUQM4KBuRMZEXxAOSY&#10;VpwzoHVF/5eofwEAAP//AwBQSwECLQAUAAYACAAAACEAtoM4kv4AAADhAQAAEwAAAAAAAAAAAAAA&#10;AAAAAAAAW0NvbnRlbnRfVHlwZXNdLnhtbFBLAQItABQABgAIAAAAIQA4/SH/1gAAAJQBAAALAAAA&#10;AAAAAAAAAAAAAC8BAABfcmVscy8ucmVsc1BLAQItABQABgAIAAAAIQAn1+fwOwIAAEcEAAAOAAAA&#10;AAAAAAAAAAAAAC4CAABkcnMvZTJvRG9jLnhtbFBLAQItABQABgAIAAAAIQDv3RwI4AAAAAwBAAAP&#10;AAAAAAAAAAAAAAAAAJUEAABkcnMvZG93bnJldi54bWxQSwUGAAAAAAQABADzAAAAogUAAAAA&#10;" fillcolor="#6ff" strokecolor="#002060">
                <v:textbox>
                  <w:txbxContent>
                    <w:p w:rsidR="00282DB7" w:rsidRPr="00551553" w:rsidRDefault="0003144F">
                      <w:pPr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</w:pPr>
                      <w:bookmarkStart w:id="1" w:name="_GoBack"/>
                      <w:r w:rsidRPr="00551553"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仪器生产</w:t>
                      </w:r>
                      <w:r w:rsidR="00B0007C"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>厂商</w:t>
                      </w:r>
                      <w:r w:rsidR="00B0007C"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：</w:t>
                      </w:r>
                      <w:r w:rsidR="005B42F3"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赛默飞世尔科技</w:t>
                      </w:r>
                      <w:r w:rsidR="00B0007C" w:rsidRPr="00551553"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 xml:space="preserve"> </w:t>
                      </w:r>
                    </w:p>
                    <w:p w:rsidR="0003144F" w:rsidRDefault="00B0007C">
                      <w:pPr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技术</w:t>
                      </w:r>
                      <w:r w:rsidR="0003144F" w:rsidRPr="00551553"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>服务热线：</w:t>
                      </w:r>
                      <w:r w:rsidR="005B42F3"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许波工程师</w:t>
                      </w:r>
                      <w: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 xml:space="preserve"> </w:t>
                      </w:r>
                      <w:r w:rsidR="005B42F3"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>13818706942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7301607F" wp14:editId="16DFDCF5">
            <wp:extent cx="2647950" cy="19860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4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862" cy="199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E65" w:rsidRPr="00BA16E1" w:rsidSect="00D82623">
      <w:pgSz w:w="11906" w:h="16838"/>
      <w:pgMar w:top="851" w:right="991" w:bottom="127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5A" w:rsidRDefault="009F335A" w:rsidP="00282DB7">
      <w:r>
        <w:separator/>
      </w:r>
    </w:p>
  </w:endnote>
  <w:endnote w:type="continuationSeparator" w:id="0">
    <w:p w:rsidR="009F335A" w:rsidRDefault="009F335A" w:rsidP="0028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5A" w:rsidRDefault="009F335A" w:rsidP="00282DB7">
      <w:r>
        <w:separator/>
      </w:r>
    </w:p>
  </w:footnote>
  <w:footnote w:type="continuationSeparator" w:id="0">
    <w:p w:rsidR="009F335A" w:rsidRDefault="009F335A" w:rsidP="0028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205"/>
    <w:multiLevelType w:val="hybridMultilevel"/>
    <w:tmpl w:val="EDA8C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D11BE8"/>
    <w:multiLevelType w:val="hybridMultilevel"/>
    <w:tmpl w:val="AE28A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D23D85"/>
    <w:multiLevelType w:val="hybridMultilevel"/>
    <w:tmpl w:val="86B41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EC21AC"/>
    <w:multiLevelType w:val="hybridMultilevel"/>
    <w:tmpl w:val="F3BC12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2D0965"/>
    <w:multiLevelType w:val="hybridMultilevel"/>
    <w:tmpl w:val="2F6C91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5946D9F"/>
    <w:multiLevelType w:val="hybridMultilevel"/>
    <w:tmpl w:val="78C80B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C4544EB"/>
    <w:multiLevelType w:val="hybridMultilevel"/>
    <w:tmpl w:val="2E5AC1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6f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F9"/>
    <w:rsid w:val="0003144F"/>
    <w:rsid w:val="00067E65"/>
    <w:rsid w:val="000E36AD"/>
    <w:rsid w:val="001A2E67"/>
    <w:rsid w:val="002078A7"/>
    <w:rsid w:val="00282DB7"/>
    <w:rsid w:val="002C4970"/>
    <w:rsid w:val="004B2577"/>
    <w:rsid w:val="004F15C2"/>
    <w:rsid w:val="00551553"/>
    <w:rsid w:val="0055598E"/>
    <w:rsid w:val="005B42F3"/>
    <w:rsid w:val="005F079D"/>
    <w:rsid w:val="006345F4"/>
    <w:rsid w:val="00750263"/>
    <w:rsid w:val="008E388C"/>
    <w:rsid w:val="00920BF9"/>
    <w:rsid w:val="00931564"/>
    <w:rsid w:val="009F335A"/>
    <w:rsid w:val="00A80DAD"/>
    <w:rsid w:val="00AF12E0"/>
    <w:rsid w:val="00B0007C"/>
    <w:rsid w:val="00B46BFD"/>
    <w:rsid w:val="00BA16E1"/>
    <w:rsid w:val="00D82623"/>
    <w:rsid w:val="00E0468F"/>
    <w:rsid w:val="00E466D8"/>
    <w:rsid w:val="00EB2FE7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,#ccecff"/>
    </o:shapedefaults>
    <o:shapelayout v:ext="edit">
      <o:idmap v:ext="edit" data="1"/>
    </o:shapelayout>
  </w:shapeDefaults>
  <w:decimalSymbol w:val="."/>
  <w:listSeparator w:val=","/>
  <w15:chartTrackingRefBased/>
  <w15:docId w15:val="{63E53AB3-CA39-4384-82A1-D8ECA9CD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B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82623"/>
    <w:pPr>
      <w:ind w:firstLineChars="200" w:firstLine="420"/>
    </w:pPr>
  </w:style>
  <w:style w:type="table" w:styleId="a6">
    <w:name w:val="Table Grid"/>
    <w:basedOn w:val="a1"/>
    <w:uiPriority w:val="39"/>
    <w:rsid w:val="005B4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8698-B067-49F4-A803-A7D655AC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</dc:creator>
  <cp:keywords/>
  <dc:description/>
  <cp:lastModifiedBy>PT1722</cp:lastModifiedBy>
  <cp:revision>4</cp:revision>
  <dcterms:created xsi:type="dcterms:W3CDTF">2019-03-21T06:44:00Z</dcterms:created>
  <dcterms:modified xsi:type="dcterms:W3CDTF">2019-03-21T07:21:00Z</dcterms:modified>
</cp:coreProperties>
</file>